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Words that describe what texts do…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“this paragraph or section _______________.”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Adds (adds detail)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Analyzes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Argues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Asks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Cites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Compares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Connects 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Continues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Contradicts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Contrasts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Demonstrates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Describes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Details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Dramatizes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Elaborates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Evaluates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Explains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Expresses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Extends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Generalizes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Illustrates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Informs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Interprets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Introduces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Lists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Narrates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Offers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Opposes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Predicts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Presents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Projects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Proposes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Qualifies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Questions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Quotes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Reasons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Rebuts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Reflects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Repeats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Speculates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Suggests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Summarizes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Supports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Synthesizes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Traces</w:t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Uses.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sectPr>
          <w:type w:val="continuous"/>
          <w:pgSz w:h="15840" w:w="12240"/>
          <w:pgMar w:bottom="1440" w:top="1440" w:left="1440" w:right="144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20" w:firstLine="0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Questions to help you determine the purpose: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Why is this section relevant?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Why is it important? </w:t>
      </w:r>
    </w:p>
    <w:p w:rsidR="00000000" w:rsidDel="00000000" w:rsidP="00000000" w:rsidRDefault="00000000" w:rsidRPr="00000000">
      <w:pPr>
        <w:spacing w:after="0" w:line="240" w:lineRule="auto"/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20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color w:val="000000"/>
          <w:sz w:val="20"/>
          <w:szCs w:val="20"/>
          <w:rtl w:val="0"/>
        </w:rPr>
        <w:t xml:space="preserve">Does it: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Add to our understanding?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Argue a point?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Contradict a point?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Provide an example?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Propose an idea?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Elaborate on an idea?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Reflect on ideas from earlier in the text?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Repeat an idea?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Suggest a new way to look at something?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0" w:hanging="360"/>
        <w:contextualSpacing w:val="1"/>
        <w:rPr>
          <w:b w:val="1"/>
          <w:color w:val="000000"/>
          <w:sz w:val="20"/>
          <w:szCs w:val="20"/>
          <w:u w:val="single"/>
        </w:rPr>
        <w:sectPr>
          <w:type w:val="continuous"/>
          <w:pgSz w:h="15840" w:w="12240"/>
          <w:pgMar w:bottom="1440" w:top="1440" w:left="1440" w:right="1440"/>
        </w:sect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Propose a question that is personal to the 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